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125" w:rsidRPr="004B2606" w:rsidRDefault="00111125" w:rsidP="00111125">
      <w:pPr>
        <w:widowControl w:val="0"/>
        <w:autoSpaceDE w:val="0"/>
        <w:autoSpaceDN w:val="0"/>
        <w:adjustRightInd w:val="0"/>
        <w:jc w:val="center"/>
        <w:rPr>
          <w:b/>
          <w:sz w:val="28"/>
          <w:szCs w:val="28"/>
        </w:rPr>
      </w:pPr>
      <w:r w:rsidRPr="004B2606">
        <w:rPr>
          <w:b/>
          <w:sz w:val="28"/>
          <w:szCs w:val="28"/>
        </w:rPr>
        <w:t>Информация</w:t>
      </w:r>
    </w:p>
    <w:p w:rsidR="00111125" w:rsidRPr="004B2606" w:rsidRDefault="00111125" w:rsidP="00111125">
      <w:pPr>
        <w:jc w:val="center"/>
        <w:rPr>
          <w:b/>
          <w:sz w:val="28"/>
          <w:szCs w:val="28"/>
        </w:rPr>
      </w:pPr>
      <w:r w:rsidRPr="004B2606">
        <w:rPr>
          <w:b/>
          <w:sz w:val="28"/>
          <w:szCs w:val="28"/>
        </w:rPr>
        <w:t xml:space="preserve">о проведении эмиссии эмиссионных ценных бумаг </w:t>
      </w:r>
    </w:p>
    <w:p w:rsidR="00111125" w:rsidRDefault="00111125" w:rsidP="004B26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580"/>
      </w:tblGrid>
      <w:tr w:rsidR="00111125" w:rsidTr="00D763BD">
        <w:tc>
          <w:tcPr>
            <w:tcW w:w="4968" w:type="dxa"/>
            <w:shd w:val="clear" w:color="auto" w:fill="auto"/>
          </w:tcPr>
          <w:p w:rsidR="00111125" w:rsidRPr="00664D97" w:rsidRDefault="00111125" w:rsidP="00263C42">
            <w:pPr>
              <w:widowControl w:val="0"/>
              <w:autoSpaceDE w:val="0"/>
              <w:autoSpaceDN w:val="0"/>
              <w:adjustRightInd w:val="0"/>
              <w:jc w:val="both"/>
            </w:pPr>
            <w:r w:rsidRPr="00664D97">
              <w:t>Полное наименование акционерного общества</w:t>
            </w:r>
          </w:p>
        </w:tc>
        <w:tc>
          <w:tcPr>
            <w:tcW w:w="5580" w:type="dxa"/>
            <w:shd w:val="clear" w:color="auto" w:fill="auto"/>
          </w:tcPr>
          <w:p w:rsidR="00111125" w:rsidRDefault="006C64E1" w:rsidP="00263C42">
            <w:pPr>
              <w:tabs>
                <w:tab w:val="left" w:pos="3630"/>
              </w:tabs>
              <w:jc w:val="both"/>
            </w:pPr>
            <w:r>
              <w:t>Открытое акционерное общество «Березовский мясоконсервный комбинат»</w:t>
            </w:r>
          </w:p>
        </w:tc>
      </w:tr>
      <w:tr w:rsidR="00111125" w:rsidTr="00D763BD">
        <w:tc>
          <w:tcPr>
            <w:tcW w:w="4968" w:type="dxa"/>
            <w:shd w:val="clear" w:color="auto" w:fill="auto"/>
          </w:tcPr>
          <w:p w:rsidR="00111125" w:rsidRPr="00664D97" w:rsidRDefault="00111125" w:rsidP="00263C42">
            <w:pPr>
              <w:widowControl w:val="0"/>
              <w:autoSpaceDE w:val="0"/>
              <w:autoSpaceDN w:val="0"/>
              <w:adjustRightInd w:val="0"/>
              <w:jc w:val="both"/>
            </w:pPr>
            <w:r w:rsidRPr="00664D97">
              <w:t>Местонахождение акционерного общества</w:t>
            </w:r>
          </w:p>
        </w:tc>
        <w:tc>
          <w:tcPr>
            <w:tcW w:w="5580" w:type="dxa"/>
            <w:shd w:val="clear" w:color="auto" w:fill="auto"/>
          </w:tcPr>
          <w:p w:rsidR="00111125" w:rsidRDefault="006C64E1" w:rsidP="00263C42">
            <w:pPr>
              <w:tabs>
                <w:tab w:val="left" w:pos="3630"/>
              </w:tabs>
              <w:jc w:val="both"/>
            </w:pPr>
            <w:r w:rsidRPr="0059469C">
              <w:rPr>
                <w:color w:val="000000"/>
              </w:rPr>
              <w:t xml:space="preserve">Республика Беларусь, Брестская область, </w:t>
            </w:r>
            <w:r>
              <w:rPr>
                <w:color w:val="000000"/>
              </w:rPr>
              <w:t>город Берёза, улица</w:t>
            </w:r>
            <w:r w:rsidRPr="0059469C">
              <w:rPr>
                <w:color w:val="000000"/>
              </w:rPr>
              <w:t xml:space="preserve"> </w:t>
            </w:r>
            <w:r>
              <w:rPr>
                <w:color w:val="000000"/>
              </w:rPr>
              <w:t>Свердлова</w:t>
            </w:r>
            <w:r w:rsidRPr="0059469C">
              <w:rPr>
                <w:color w:val="000000"/>
              </w:rPr>
              <w:t xml:space="preserve">, дом № </w:t>
            </w:r>
            <w:r>
              <w:rPr>
                <w:color w:val="000000"/>
              </w:rPr>
              <w:t>1</w:t>
            </w:r>
          </w:p>
        </w:tc>
      </w:tr>
      <w:tr w:rsidR="006C64E1" w:rsidTr="00D763BD">
        <w:tc>
          <w:tcPr>
            <w:tcW w:w="4968" w:type="dxa"/>
            <w:shd w:val="clear" w:color="auto" w:fill="auto"/>
          </w:tcPr>
          <w:p w:rsidR="006C64E1" w:rsidRPr="00664D97" w:rsidRDefault="006C64E1" w:rsidP="006C64E1">
            <w:pPr>
              <w:jc w:val="both"/>
            </w:pPr>
            <w:r w:rsidRPr="00664D97">
              <w:t>Дата и № протокола общего собрания акционеров, принявшего решение о проведении эмиссии акций дополнительного выпуска</w:t>
            </w:r>
          </w:p>
        </w:tc>
        <w:tc>
          <w:tcPr>
            <w:tcW w:w="5580" w:type="dxa"/>
            <w:shd w:val="clear" w:color="auto" w:fill="auto"/>
          </w:tcPr>
          <w:p w:rsidR="006C64E1" w:rsidRPr="008F44AE" w:rsidRDefault="006C64E1" w:rsidP="006C64E1">
            <w:pPr>
              <w:tabs>
                <w:tab w:val="left" w:pos="3630"/>
              </w:tabs>
              <w:jc w:val="both"/>
            </w:pPr>
            <w:r>
              <w:t>16.03.2026 г. №49</w:t>
            </w:r>
          </w:p>
        </w:tc>
      </w:tr>
      <w:tr w:rsidR="006C64E1" w:rsidTr="00D763BD">
        <w:tc>
          <w:tcPr>
            <w:tcW w:w="4968" w:type="dxa"/>
            <w:shd w:val="clear" w:color="auto" w:fill="auto"/>
          </w:tcPr>
          <w:p w:rsidR="006C64E1" w:rsidRPr="00664D97" w:rsidRDefault="006C64E1" w:rsidP="006C64E1">
            <w:pPr>
              <w:pStyle w:val="newncpi"/>
              <w:ind w:firstLine="0"/>
            </w:pPr>
            <w:r w:rsidRPr="00664D97">
              <w:t>Основные цели эмиссии и направления использования средств, полученных в результате проведения подписки на акции</w:t>
            </w:r>
          </w:p>
        </w:tc>
        <w:tc>
          <w:tcPr>
            <w:tcW w:w="5580" w:type="dxa"/>
            <w:shd w:val="clear" w:color="auto" w:fill="auto"/>
          </w:tcPr>
          <w:p w:rsidR="006C64E1" w:rsidRPr="006C64E1" w:rsidRDefault="004037F9" w:rsidP="004037F9">
            <w:pPr>
              <w:tabs>
                <w:tab w:val="left" w:pos="3630"/>
              </w:tabs>
              <w:jc w:val="both"/>
            </w:pPr>
            <w:r>
              <w:t>Увеличение уставного фонда Общества путем эмиссии акций дополнительного выпуска, размещаемых путем проведения закрытой подписки, с целью увеличения долгосрочных активов.</w:t>
            </w:r>
          </w:p>
        </w:tc>
      </w:tr>
      <w:tr w:rsidR="006C64E1" w:rsidTr="00D763BD">
        <w:tc>
          <w:tcPr>
            <w:tcW w:w="4968" w:type="dxa"/>
            <w:shd w:val="clear" w:color="auto" w:fill="auto"/>
          </w:tcPr>
          <w:p w:rsidR="006C64E1" w:rsidRPr="00664D97" w:rsidRDefault="006C64E1" w:rsidP="006C64E1">
            <w:pPr>
              <w:pStyle w:val="newncpi"/>
              <w:ind w:firstLine="0"/>
            </w:pPr>
            <w:r w:rsidRPr="00664D97">
              <w:t xml:space="preserve">Планируемый объем </w:t>
            </w:r>
            <w:r w:rsidRPr="004C48B4">
              <w:t>дополнительного выпуска</w:t>
            </w:r>
            <w:r w:rsidRPr="00664D97">
              <w:t xml:space="preserve"> акций</w:t>
            </w:r>
          </w:p>
        </w:tc>
        <w:tc>
          <w:tcPr>
            <w:tcW w:w="5580" w:type="dxa"/>
            <w:shd w:val="clear" w:color="auto" w:fill="auto"/>
          </w:tcPr>
          <w:p w:rsidR="006C64E1" w:rsidRPr="008F44AE" w:rsidRDefault="006C64E1" w:rsidP="006C64E1">
            <w:pPr>
              <w:tabs>
                <w:tab w:val="left" w:pos="3630"/>
              </w:tabs>
              <w:jc w:val="both"/>
            </w:pPr>
            <w:r>
              <w:t>10 767 630,00</w:t>
            </w:r>
            <w:r w:rsidR="00EB522D">
              <w:t xml:space="preserve"> рублей</w:t>
            </w:r>
          </w:p>
        </w:tc>
      </w:tr>
      <w:tr w:rsidR="006C64E1" w:rsidTr="00D763BD">
        <w:tc>
          <w:tcPr>
            <w:tcW w:w="4968" w:type="dxa"/>
            <w:shd w:val="clear" w:color="auto" w:fill="auto"/>
          </w:tcPr>
          <w:p w:rsidR="006C64E1" w:rsidRPr="00664D97" w:rsidRDefault="006C64E1" w:rsidP="006C64E1">
            <w:pPr>
              <w:tabs>
                <w:tab w:val="left" w:pos="3630"/>
              </w:tabs>
              <w:jc w:val="both"/>
            </w:pPr>
            <w:r w:rsidRPr="00664D97">
              <w:t xml:space="preserve">Количество и категории акций дополнительного выпуска, размещаемых путем проведения </w:t>
            </w:r>
            <w:r w:rsidRPr="004C48B4">
              <w:t>закрытой (</w:t>
            </w:r>
            <w:r>
              <w:t>открытой</w:t>
            </w:r>
            <w:r w:rsidRPr="004C48B4">
              <w:t>)</w:t>
            </w:r>
            <w:r w:rsidRPr="00664D97">
              <w:t xml:space="preserve"> подписки на акции</w:t>
            </w:r>
          </w:p>
        </w:tc>
        <w:tc>
          <w:tcPr>
            <w:tcW w:w="5580" w:type="dxa"/>
            <w:shd w:val="clear" w:color="auto" w:fill="auto"/>
          </w:tcPr>
          <w:p w:rsidR="006C64E1" w:rsidRPr="009A39D8" w:rsidRDefault="006C64E1" w:rsidP="006C64E1">
            <w:pPr>
              <w:tabs>
                <w:tab w:val="left" w:pos="3630"/>
              </w:tabs>
              <w:jc w:val="both"/>
            </w:pPr>
            <w:r>
              <w:rPr>
                <w:color w:val="333333"/>
              </w:rPr>
              <w:t>2 153 526</w:t>
            </w:r>
            <w:r w:rsidRPr="009A39D8">
              <w:rPr>
                <w:color w:val="333333"/>
              </w:rPr>
              <w:t xml:space="preserve"> (</w:t>
            </w:r>
            <w:r>
              <w:rPr>
                <w:color w:val="333333"/>
              </w:rPr>
              <w:t>два миллиона</w:t>
            </w:r>
            <w:r w:rsidRPr="009A39D8">
              <w:rPr>
                <w:color w:val="333333"/>
              </w:rPr>
              <w:t xml:space="preserve"> </w:t>
            </w:r>
            <w:r>
              <w:rPr>
                <w:color w:val="333333"/>
              </w:rPr>
              <w:t xml:space="preserve">сто пятьдесят три </w:t>
            </w:r>
            <w:r w:rsidRPr="009A39D8">
              <w:rPr>
                <w:color w:val="333333"/>
              </w:rPr>
              <w:t>тысяч</w:t>
            </w:r>
            <w:r>
              <w:rPr>
                <w:color w:val="333333"/>
              </w:rPr>
              <w:t>и</w:t>
            </w:r>
            <w:r w:rsidRPr="009A39D8">
              <w:rPr>
                <w:color w:val="333333"/>
              </w:rPr>
              <w:t xml:space="preserve"> </w:t>
            </w:r>
            <w:r>
              <w:rPr>
                <w:color w:val="333333"/>
              </w:rPr>
              <w:t>пятьсот двадцать шесть</w:t>
            </w:r>
            <w:r w:rsidRPr="009A39D8">
              <w:rPr>
                <w:color w:val="333333"/>
              </w:rPr>
              <w:t xml:space="preserve">) штук простых (обыкновенных) акций. </w:t>
            </w:r>
            <w:r w:rsidR="00102079">
              <w:rPr>
                <w:color w:val="333333"/>
              </w:rPr>
              <w:t>Привилегированные акции при проведении закрытой подписки не размещаются.</w:t>
            </w:r>
          </w:p>
        </w:tc>
      </w:tr>
      <w:tr w:rsidR="006C64E1" w:rsidTr="00D763BD">
        <w:tc>
          <w:tcPr>
            <w:tcW w:w="4968" w:type="dxa"/>
            <w:shd w:val="clear" w:color="auto" w:fill="auto"/>
          </w:tcPr>
          <w:p w:rsidR="006C64E1" w:rsidRPr="00664D97" w:rsidRDefault="006C64E1" w:rsidP="006C64E1">
            <w:pPr>
              <w:pStyle w:val="newncpi"/>
              <w:ind w:firstLine="0"/>
            </w:pPr>
            <w:r w:rsidRPr="00664D97">
              <w:t xml:space="preserve">Номинальная стоимость одной акции </w:t>
            </w:r>
          </w:p>
        </w:tc>
        <w:tc>
          <w:tcPr>
            <w:tcW w:w="5580" w:type="dxa"/>
            <w:shd w:val="clear" w:color="auto" w:fill="auto"/>
          </w:tcPr>
          <w:p w:rsidR="006C64E1" w:rsidRPr="00EB522D" w:rsidRDefault="006C64E1" w:rsidP="006C64E1">
            <w:pPr>
              <w:tabs>
                <w:tab w:val="left" w:pos="3630"/>
              </w:tabs>
              <w:jc w:val="both"/>
            </w:pPr>
            <w:r>
              <w:rPr>
                <w:lang w:val="en-US"/>
              </w:rPr>
              <w:t>5.00</w:t>
            </w:r>
            <w:r w:rsidR="00EB522D">
              <w:t xml:space="preserve"> рублей</w:t>
            </w:r>
          </w:p>
        </w:tc>
      </w:tr>
      <w:tr w:rsidR="006C64E1" w:rsidTr="00D763BD">
        <w:tc>
          <w:tcPr>
            <w:tcW w:w="4968" w:type="dxa"/>
            <w:shd w:val="clear" w:color="auto" w:fill="auto"/>
          </w:tcPr>
          <w:p w:rsidR="006C64E1" w:rsidRPr="00664D97" w:rsidRDefault="006C64E1" w:rsidP="006C64E1">
            <w:pPr>
              <w:pStyle w:val="newncpi"/>
              <w:ind w:firstLine="0"/>
            </w:pPr>
            <w:r w:rsidRPr="00664D97">
              <w:t>Порядок расчета и выплаты дивидендов по акциям</w:t>
            </w:r>
          </w:p>
        </w:tc>
        <w:tc>
          <w:tcPr>
            <w:tcW w:w="5580" w:type="dxa"/>
            <w:shd w:val="clear" w:color="auto" w:fill="auto"/>
          </w:tcPr>
          <w:p w:rsidR="00271363" w:rsidRPr="00271363" w:rsidRDefault="00271363" w:rsidP="00271363">
            <w:pPr>
              <w:spacing w:line="259" w:lineRule="auto"/>
              <w:ind w:firstLine="708"/>
              <w:jc w:val="both"/>
              <w:rPr>
                <w:rFonts w:eastAsiaTheme="minorHAnsi"/>
                <w:lang w:eastAsia="en-US"/>
              </w:rPr>
            </w:pPr>
            <w:r w:rsidRPr="00271363">
              <w:rPr>
                <w:rFonts w:eastAsiaTheme="minorHAnsi"/>
                <w:lang w:eastAsia="en-US"/>
              </w:rPr>
              <w:t xml:space="preserve">Дивиденды выплачиваются только по размещенным акциям. Дивиденды могут выплачиваться по результатам первого квартала, полугодия, девяти месяцев и по результатам года (далее — период выплаты дивидендов). Общее собрание акционеров устанавливает период выплаты дивидендов, за который выплачиваются дивиденды, а также срок выплаты дивидендов. В случае, если решением общего собрания акционеров Общества срок выплаты дивидендов не определен, он не должен превышать 60 дней со дня принятия решения об объявлении и выплате дивидендов. Размер дивиденда объявляется в белорусских рублях на одну акцию. Дивиденды выплачиваются в денежных единицах РБ, а по решению общего собрания акционеров и с согласия их получателей - в установленном порядке товаром, ценными бумагами или иным имуществом. Список акционеров, имеющих право на получение дивидендов, составляется на основании данных того же реестра владельцев акционеров, на основании которого был составлен список лиц, имеющих право на участие в общем собрании акционеров, принявшем решение о выплате соответствующих дивидендов. Информация о времени и месте выплаты дивидендов доводится до сведения акционеров в том же порядке, в котором они извещаются о проведении общего собрания акционеров. По заявлению акционера причитающиеся ему дивиденды высылаются почтовым переводом или перечисляются на его счет </w:t>
            </w:r>
            <w:r w:rsidRPr="00271363">
              <w:rPr>
                <w:rFonts w:eastAsiaTheme="minorHAnsi"/>
                <w:lang w:eastAsia="en-US"/>
              </w:rPr>
              <w:lastRenderedPageBreak/>
              <w:t>в банке. Расходы по пересылке (перечислению) дивидендов в пределах РБ</w:t>
            </w:r>
            <w:bookmarkStart w:id="0" w:name="_GoBack"/>
            <w:bookmarkEnd w:id="0"/>
            <w:r w:rsidRPr="00271363">
              <w:rPr>
                <w:rFonts w:eastAsiaTheme="minorHAnsi"/>
                <w:lang w:eastAsia="en-US"/>
              </w:rPr>
              <w:t xml:space="preserve"> производятся за счет средств Общества. </w:t>
            </w:r>
          </w:p>
          <w:p w:rsidR="006C64E1" w:rsidRPr="00271363" w:rsidRDefault="006C64E1" w:rsidP="006C64E1">
            <w:pPr>
              <w:tabs>
                <w:tab w:val="left" w:pos="3630"/>
              </w:tabs>
              <w:jc w:val="both"/>
            </w:pPr>
          </w:p>
        </w:tc>
      </w:tr>
      <w:tr w:rsidR="006C64E1" w:rsidTr="00D763BD">
        <w:tc>
          <w:tcPr>
            <w:tcW w:w="4968" w:type="dxa"/>
            <w:shd w:val="clear" w:color="auto" w:fill="auto"/>
          </w:tcPr>
          <w:p w:rsidR="006C64E1" w:rsidRPr="00664D97" w:rsidRDefault="006C64E1" w:rsidP="006C64E1">
            <w:pPr>
              <w:jc w:val="both"/>
            </w:pPr>
            <w:r w:rsidRPr="00664D97">
              <w:lastRenderedPageBreak/>
              <w:t>Вид вклада (неденежный, денежный)</w:t>
            </w:r>
          </w:p>
          <w:p w:rsidR="006C64E1" w:rsidRPr="00664D97" w:rsidRDefault="006C64E1" w:rsidP="006C64E1">
            <w:pPr>
              <w:pStyle w:val="newncpi"/>
              <w:ind w:firstLine="0"/>
            </w:pPr>
          </w:p>
        </w:tc>
        <w:tc>
          <w:tcPr>
            <w:tcW w:w="5580" w:type="dxa"/>
            <w:shd w:val="clear" w:color="auto" w:fill="auto"/>
          </w:tcPr>
          <w:p w:rsidR="006C64E1" w:rsidRPr="006C64E1" w:rsidRDefault="006C64E1" w:rsidP="006C64E1">
            <w:pPr>
              <w:tabs>
                <w:tab w:val="left" w:pos="3630"/>
              </w:tabs>
              <w:jc w:val="both"/>
            </w:pPr>
            <w:proofErr w:type="spellStart"/>
            <w:r>
              <w:t>неденежный</w:t>
            </w:r>
            <w:proofErr w:type="spellEnd"/>
          </w:p>
        </w:tc>
      </w:tr>
      <w:tr w:rsidR="006C64E1" w:rsidTr="00D763BD">
        <w:tc>
          <w:tcPr>
            <w:tcW w:w="4968" w:type="dxa"/>
            <w:shd w:val="clear" w:color="auto" w:fill="auto"/>
          </w:tcPr>
          <w:p w:rsidR="006C64E1" w:rsidRPr="00664D97" w:rsidRDefault="006C64E1" w:rsidP="006C64E1">
            <w:pPr>
              <w:pStyle w:val="newncpi"/>
              <w:ind w:firstLine="0"/>
            </w:pPr>
            <w:r w:rsidRPr="00664D97">
              <w:t xml:space="preserve">Права акционеров, удостоверяемых акциями соответствующей категории, соответствующего типа привилегированных акций, в том числе о наличии (отсутствии) преимущественного права акционеров на приобретение акций дополнительного выпуска и сроки реализации этого права, о фиксированном размере дивиденда или о порядке его определения, о фиксированной стоимости имущества, подлежащего передаче владельцу привилегированной акции в случае ликвидации акционерного общества, либо о порядке ее определения, об очередности выплаты дивидендов по каждому типу привилегированных акций, распределения имущества между акционерами в случае ликвидации акционерного общества </w:t>
            </w:r>
          </w:p>
          <w:p w:rsidR="006C64E1" w:rsidRPr="00664D97" w:rsidRDefault="006C64E1" w:rsidP="006C64E1">
            <w:pPr>
              <w:pStyle w:val="newncpi"/>
            </w:pPr>
          </w:p>
        </w:tc>
        <w:tc>
          <w:tcPr>
            <w:tcW w:w="5580" w:type="dxa"/>
            <w:shd w:val="clear" w:color="auto" w:fill="auto"/>
          </w:tcPr>
          <w:p w:rsidR="006D739E" w:rsidRPr="006D739E" w:rsidRDefault="006D739E" w:rsidP="006D739E">
            <w:pPr>
              <w:pStyle w:val="newncpi"/>
            </w:pPr>
            <w:r w:rsidRPr="006D739E">
              <w:t>участвовать в общем собрании акционеров с правом голоса по вопросам, относящимся к компетенции общего собрания акционеров;</w:t>
            </w:r>
          </w:p>
          <w:p w:rsidR="006D739E" w:rsidRPr="006D739E" w:rsidRDefault="006D739E" w:rsidP="006D739E">
            <w:pPr>
              <w:pStyle w:val="newncpi"/>
            </w:pPr>
            <w:r w:rsidRPr="006D739E">
              <w:t>получать часть прибыли Общества в виде дивидендов;</w:t>
            </w:r>
          </w:p>
          <w:p w:rsidR="006D739E" w:rsidRPr="006D739E" w:rsidRDefault="006D739E" w:rsidP="006D739E">
            <w:pPr>
              <w:pStyle w:val="newncpi"/>
            </w:pPr>
            <w:r w:rsidRPr="006D739E">
              <w:t>получать в случае ликвидации Общества часть имущества, оставшегося после расчетов с кредиторами, или его стоимость;</w:t>
            </w:r>
          </w:p>
          <w:p w:rsidR="006D739E" w:rsidRPr="006D739E" w:rsidRDefault="006D739E" w:rsidP="006D739E">
            <w:pPr>
              <w:pStyle w:val="newncpi"/>
            </w:pPr>
            <w:r w:rsidRPr="006D739E">
              <w:t>получать информацию о деятельности Общества и знакомиться с его документацией в</w:t>
            </w:r>
            <w:r>
              <w:t xml:space="preserve"> </w:t>
            </w:r>
            <w:r w:rsidRPr="006D739E">
              <w:t xml:space="preserve">объеме и порядке, определенными пунктом </w:t>
            </w:r>
            <w:proofErr w:type="gramStart"/>
            <w:r w:rsidRPr="006D739E">
              <w:t>87  устава</w:t>
            </w:r>
            <w:proofErr w:type="gramEnd"/>
            <w:r w:rsidR="00271363">
              <w:t xml:space="preserve"> Общества</w:t>
            </w:r>
            <w:r w:rsidRPr="006D739E">
              <w:t>;</w:t>
            </w:r>
          </w:p>
          <w:p w:rsidR="006D739E" w:rsidRPr="006D739E" w:rsidRDefault="006D739E" w:rsidP="006D739E">
            <w:pPr>
              <w:pStyle w:val="newncpi"/>
            </w:pPr>
            <w:r w:rsidRPr="006D739E">
              <w:t>распоряжаться принадлежащими им акциями в порядке, предусмотренном законодательством;</w:t>
            </w:r>
          </w:p>
          <w:p w:rsidR="006D739E" w:rsidRPr="006D739E" w:rsidRDefault="006D739E" w:rsidP="006D739E">
            <w:pPr>
              <w:pStyle w:val="newncpi"/>
            </w:pPr>
            <w:r w:rsidRPr="006D739E">
              <w:t>на основании договора, заключенного между акционером и Обществом, безвозмездно вносить в имущество Общества вклады, отвечающие требованиям к имуществу, предусмотренным частями первой и второй статьи 29 Закона</w:t>
            </w:r>
            <w:r w:rsidR="00271363">
              <w:t xml:space="preserve"> </w:t>
            </w:r>
            <w:r w:rsidR="0001588A">
              <w:t>о хозяйственных обществах</w:t>
            </w:r>
            <w:r w:rsidRPr="006D739E">
              <w:t>, не приводящие к увеличению уставного фонда Общества и изменению размера номинальной стоимости акций, принадлежащих его акционерам;</w:t>
            </w:r>
          </w:p>
          <w:p w:rsidR="006D739E" w:rsidRDefault="006D739E" w:rsidP="006D739E">
            <w:pPr>
              <w:pStyle w:val="newncpi"/>
            </w:pPr>
            <w:r w:rsidRPr="006D739E">
              <w:t>передавать свои полномочия по участию в управлении деятельностью Общества иным лицам путем выдачи доверенности либо заключения договора в порядке, установленном законодательными актами.</w:t>
            </w:r>
          </w:p>
          <w:p w:rsidR="002D3956" w:rsidRPr="002D3956" w:rsidRDefault="002D3956" w:rsidP="006D739E">
            <w:pPr>
              <w:pStyle w:val="newncpi"/>
            </w:pPr>
            <w:r w:rsidRPr="006D739E">
              <w:t>Преимущественное право на приобретения дополнительного выпуска акций не предоставляется.</w:t>
            </w:r>
          </w:p>
          <w:p w:rsidR="006C64E1" w:rsidRDefault="006C64E1" w:rsidP="006C64E1">
            <w:pPr>
              <w:tabs>
                <w:tab w:val="left" w:pos="3630"/>
              </w:tabs>
              <w:jc w:val="both"/>
            </w:pPr>
          </w:p>
        </w:tc>
      </w:tr>
      <w:tr w:rsidR="006C64E1" w:rsidTr="00D763BD">
        <w:tc>
          <w:tcPr>
            <w:tcW w:w="4968" w:type="dxa"/>
            <w:shd w:val="clear" w:color="auto" w:fill="auto"/>
          </w:tcPr>
          <w:p w:rsidR="006C64E1" w:rsidRPr="00664D97" w:rsidRDefault="006C64E1" w:rsidP="006C64E1">
            <w:pPr>
              <w:pStyle w:val="newncpi"/>
              <w:ind w:firstLine="0"/>
            </w:pPr>
            <w:r w:rsidRPr="00664D97">
              <w:t xml:space="preserve">Способ размещения акций </w:t>
            </w:r>
          </w:p>
          <w:p w:rsidR="006C64E1" w:rsidRPr="00664D97" w:rsidRDefault="006C64E1" w:rsidP="006C64E1">
            <w:pPr>
              <w:pStyle w:val="newncpi"/>
              <w:ind w:firstLine="0"/>
            </w:pPr>
          </w:p>
        </w:tc>
        <w:tc>
          <w:tcPr>
            <w:tcW w:w="5580" w:type="dxa"/>
            <w:shd w:val="clear" w:color="auto" w:fill="auto"/>
          </w:tcPr>
          <w:p w:rsidR="006C64E1" w:rsidRDefault="006C64E1" w:rsidP="00102079">
            <w:pPr>
              <w:tabs>
                <w:tab w:val="left" w:pos="3630"/>
              </w:tabs>
              <w:jc w:val="both"/>
            </w:pPr>
            <w:r>
              <w:t>Закрытая подписка</w:t>
            </w:r>
          </w:p>
        </w:tc>
      </w:tr>
      <w:tr w:rsidR="006C64E1" w:rsidTr="00D763BD">
        <w:tc>
          <w:tcPr>
            <w:tcW w:w="4968" w:type="dxa"/>
            <w:shd w:val="clear" w:color="auto" w:fill="auto"/>
          </w:tcPr>
          <w:p w:rsidR="006C64E1" w:rsidRPr="00664D97" w:rsidRDefault="006C64E1" w:rsidP="006C64E1">
            <w:pPr>
              <w:pStyle w:val="newncpi"/>
              <w:ind w:firstLine="0"/>
            </w:pPr>
            <w:r w:rsidRPr="00664D97">
              <w:t>Место, дата и время проведения подписки на акции</w:t>
            </w:r>
          </w:p>
          <w:p w:rsidR="006C64E1" w:rsidRPr="00664D97" w:rsidRDefault="006C64E1" w:rsidP="006C64E1">
            <w:pPr>
              <w:pStyle w:val="newncpi"/>
              <w:ind w:firstLine="0"/>
            </w:pPr>
          </w:p>
        </w:tc>
        <w:tc>
          <w:tcPr>
            <w:tcW w:w="5580" w:type="dxa"/>
            <w:shd w:val="clear" w:color="auto" w:fill="auto"/>
          </w:tcPr>
          <w:p w:rsidR="006C64E1" w:rsidRDefault="00102079" w:rsidP="00926DC4">
            <w:pPr>
              <w:tabs>
                <w:tab w:val="left" w:pos="3630"/>
              </w:tabs>
              <w:jc w:val="both"/>
            </w:pPr>
            <w:r>
              <w:t>225210, Брестская область, г. Берёза, улица Свердлова,1, в рабочие дни с 8.</w:t>
            </w:r>
            <w:r w:rsidR="00926DC4">
              <w:t>3</w:t>
            </w:r>
            <w:r>
              <w:t>0 до 1</w:t>
            </w:r>
            <w:r w:rsidR="00926DC4">
              <w:t>2</w:t>
            </w:r>
            <w:r>
              <w:t>.</w:t>
            </w:r>
            <w:r w:rsidR="00926DC4">
              <w:t>30</w:t>
            </w:r>
            <w:r>
              <w:t>, с 1</w:t>
            </w:r>
            <w:r w:rsidR="00926DC4">
              <w:t>3</w:t>
            </w:r>
            <w:r>
              <w:t>.</w:t>
            </w:r>
            <w:r w:rsidR="00926DC4">
              <w:t>3</w:t>
            </w:r>
            <w:r>
              <w:t>0 до 1</w:t>
            </w:r>
            <w:r w:rsidR="00926DC4">
              <w:t>6</w:t>
            </w:r>
            <w:r>
              <w:t>.</w:t>
            </w:r>
            <w:r w:rsidR="00926DC4">
              <w:t>3</w:t>
            </w:r>
            <w:r>
              <w:t xml:space="preserve">0 </w:t>
            </w:r>
          </w:p>
        </w:tc>
      </w:tr>
      <w:tr w:rsidR="006C64E1" w:rsidTr="00D763BD">
        <w:tc>
          <w:tcPr>
            <w:tcW w:w="4968" w:type="dxa"/>
            <w:shd w:val="clear" w:color="auto" w:fill="auto"/>
          </w:tcPr>
          <w:p w:rsidR="006C64E1" w:rsidRPr="00664D97" w:rsidRDefault="006C64E1" w:rsidP="006C64E1">
            <w:pPr>
              <w:tabs>
                <w:tab w:val="left" w:pos="3630"/>
              </w:tabs>
              <w:jc w:val="both"/>
            </w:pPr>
            <w:r w:rsidRPr="00664D97">
              <w:t>Период проведения подписки на акции (указываются даты начала и окончания либо порядок определения такой даты)</w:t>
            </w:r>
          </w:p>
        </w:tc>
        <w:tc>
          <w:tcPr>
            <w:tcW w:w="5580" w:type="dxa"/>
            <w:shd w:val="clear" w:color="auto" w:fill="auto"/>
          </w:tcPr>
          <w:p w:rsidR="006C64E1" w:rsidRDefault="002D3956" w:rsidP="006C64E1">
            <w:pPr>
              <w:tabs>
                <w:tab w:val="left" w:pos="3630"/>
              </w:tabs>
              <w:jc w:val="both"/>
            </w:pPr>
            <w:r>
              <w:t>В</w:t>
            </w:r>
            <w:r w:rsidR="00102079">
              <w:t xml:space="preserve"> течение 10 дней с 18.03.2026 по 27.03.2026 включительно</w:t>
            </w:r>
          </w:p>
        </w:tc>
      </w:tr>
      <w:tr w:rsidR="006C64E1" w:rsidTr="00D763BD">
        <w:tc>
          <w:tcPr>
            <w:tcW w:w="4968" w:type="dxa"/>
            <w:shd w:val="clear" w:color="auto" w:fill="auto"/>
          </w:tcPr>
          <w:p w:rsidR="006C64E1" w:rsidRPr="00664D97" w:rsidRDefault="006C64E1" w:rsidP="006C64E1">
            <w:pPr>
              <w:tabs>
                <w:tab w:val="left" w:pos="3630"/>
              </w:tabs>
              <w:jc w:val="both"/>
            </w:pPr>
            <w:r w:rsidRPr="00664D97">
              <w:t>Период сбора предложений (заявок) от лиц, намеревающихся приобрести дополнительно выпускаемые акции (указываются даты начала и окончания периода сбора предложений)</w:t>
            </w:r>
          </w:p>
        </w:tc>
        <w:tc>
          <w:tcPr>
            <w:tcW w:w="5580" w:type="dxa"/>
            <w:shd w:val="clear" w:color="auto" w:fill="auto"/>
          </w:tcPr>
          <w:p w:rsidR="006C64E1" w:rsidRDefault="006C64E1" w:rsidP="006C64E1">
            <w:pPr>
              <w:tabs>
                <w:tab w:val="left" w:pos="3630"/>
              </w:tabs>
              <w:jc w:val="both"/>
            </w:pPr>
          </w:p>
        </w:tc>
      </w:tr>
      <w:tr w:rsidR="006C64E1" w:rsidTr="00D763BD">
        <w:tc>
          <w:tcPr>
            <w:tcW w:w="4968" w:type="dxa"/>
            <w:shd w:val="clear" w:color="auto" w:fill="auto"/>
          </w:tcPr>
          <w:p w:rsidR="006C64E1" w:rsidRPr="00664D97" w:rsidRDefault="006C64E1" w:rsidP="006C64E1">
            <w:pPr>
              <w:pStyle w:val="newncpi"/>
              <w:ind w:firstLine="0"/>
            </w:pPr>
            <w:r w:rsidRPr="00664D97">
              <w:t xml:space="preserve">Порядок действий эмитента в случае превышения либо недостижения планируемого объема дополнительного выпуска акций, а также порядок (условия) заключения договоров в случае, если по итогам осуществления сбора предложений (заявок) от лиц, намеревающихся приобрести </w:t>
            </w:r>
            <w:r w:rsidRPr="00664D97">
              <w:lastRenderedPageBreak/>
              <w:t xml:space="preserve">дополнительно выпускаемые акции, общее количество акций, указанное в поступивших предложениях (заявках), превышает планируемый объем дополнительного выпуска акций </w:t>
            </w:r>
          </w:p>
          <w:p w:rsidR="006C64E1" w:rsidRPr="00664D97" w:rsidRDefault="006C64E1" w:rsidP="006C64E1">
            <w:pPr>
              <w:tabs>
                <w:tab w:val="left" w:pos="3630"/>
              </w:tabs>
              <w:jc w:val="both"/>
            </w:pPr>
          </w:p>
        </w:tc>
        <w:tc>
          <w:tcPr>
            <w:tcW w:w="5580" w:type="dxa"/>
            <w:shd w:val="clear" w:color="auto" w:fill="auto"/>
          </w:tcPr>
          <w:p w:rsidR="00082644" w:rsidRPr="00082644" w:rsidRDefault="00102079" w:rsidP="00082644">
            <w:pPr>
              <w:spacing w:before="100" w:beforeAutospacing="1" w:after="100" w:afterAutospacing="1"/>
              <w:ind w:firstLine="540"/>
              <w:contextualSpacing/>
              <w:jc w:val="both"/>
              <w:rPr>
                <w:rFonts w:eastAsiaTheme="minorHAnsi"/>
                <w:lang w:eastAsia="en-US"/>
              </w:rPr>
            </w:pPr>
            <w:r>
              <w:lastRenderedPageBreak/>
              <w:t xml:space="preserve">В случае </w:t>
            </w:r>
            <w:proofErr w:type="spellStart"/>
            <w:r>
              <w:t>недостижения</w:t>
            </w:r>
            <w:proofErr w:type="spellEnd"/>
            <w:r>
              <w:t xml:space="preserve"> планируемого объема эмиссии подписка признается состоявшейся в сумме фактически вне</w:t>
            </w:r>
            <w:r w:rsidR="002D3956">
              <w:t>с</w:t>
            </w:r>
            <w:r>
              <w:t xml:space="preserve">енного </w:t>
            </w:r>
            <w:proofErr w:type="spellStart"/>
            <w:r>
              <w:t>неденежного</w:t>
            </w:r>
            <w:proofErr w:type="spellEnd"/>
            <w:r>
              <w:t xml:space="preserve"> вклада.</w:t>
            </w:r>
            <w:r w:rsidR="00082644" w:rsidRPr="00082644">
              <w:rPr>
                <w:rFonts w:eastAsiaTheme="minorHAnsi"/>
                <w:sz w:val="28"/>
                <w:szCs w:val="28"/>
                <w:lang w:eastAsia="en-US"/>
              </w:rPr>
              <w:t xml:space="preserve"> </w:t>
            </w:r>
            <w:r w:rsidR="00082644" w:rsidRPr="00082644">
              <w:rPr>
                <w:rFonts w:eastAsiaTheme="minorHAnsi"/>
                <w:lang w:eastAsia="en-US"/>
              </w:rPr>
              <w:t>Превышение планируемого объема подписки не допускается.</w:t>
            </w:r>
          </w:p>
          <w:p w:rsidR="00082644" w:rsidRPr="00082644" w:rsidRDefault="00082644" w:rsidP="00082644">
            <w:pPr>
              <w:spacing w:before="100" w:beforeAutospacing="1" w:after="100" w:afterAutospacing="1"/>
              <w:ind w:firstLine="540"/>
              <w:contextualSpacing/>
              <w:jc w:val="both"/>
              <w:rPr>
                <w:rFonts w:eastAsiaTheme="minorHAnsi"/>
                <w:lang w:eastAsia="en-US"/>
              </w:rPr>
            </w:pPr>
            <w:r w:rsidRPr="00082644">
              <w:rPr>
                <w:rFonts w:eastAsiaTheme="minorHAnsi"/>
                <w:lang w:eastAsia="en-US"/>
              </w:rPr>
              <w:t xml:space="preserve">В случае, если общее количество акций, указанное в поступивших предложениях (заявках), </w:t>
            </w:r>
            <w:r w:rsidRPr="00082644">
              <w:rPr>
                <w:rFonts w:eastAsiaTheme="minorHAnsi"/>
                <w:lang w:eastAsia="en-US"/>
              </w:rPr>
              <w:lastRenderedPageBreak/>
              <w:t xml:space="preserve">превышает планируемый объем эмиссии, договор подписки заключается с акционерами, предложившими наибольшее количество акций. </w:t>
            </w:r>
          </w:p>
          <w:p w:rsidR="006C64E1" w:rsidRDefault="006C64E1" w:rsidP="002D3956">
            <w:pPr>
              <w:pStyle w:val="newncpi"/>
            </w:pPr>
          </w:p>
        </w:tc>
      </w:tr>
      <w:tr w:rsidR="006C64E1" w:rsidTr="00D763BD">
        <w:tc>
          <w:tcPr>
            <w:tcW w:w="4968" w:type="dxa"/>
            <w:shd w:val="clear" w:color="auto" w:fill="auto"/>
          </w:tcPr>
          <w:p w:rsidR="006C64E1" w:rsidRPr="00664D97" w:rsidRDefault="006C64E1" w:rsidP="006C64E1">
            <w:pPr>
              <w:tabs>
                <w:tab w:val="left" w:pos="3630"/>
              </w:tabs>
              <w:jc w:val="both"/>
            </w:pPr>
            <w:r w:rsidRPr="00664D97">
              <w:lastRenderedPageBreak/>
              <w:t>Условия отказа от заключения договора</w:t>
            </w:r>
          </w:p>
        </w:tc>
        <w:tc>
          <w:tcPr>
            <w:tcW w:w="5580" w:type="dxa"/>
            <w:shd w:val="clear" w:color="auto" w:fill="auto"/>
          </w:tcPr>
          <w:p w:rsidR="006C64E1" w:rsidRPr="00271363" w:rsidRDefault="00271363" w:rsidP="00271363">
            <w:pPr>
              <w:spacing w:before="100" w:beforeAutospacing="1" w:after="100" w:afterAutospacing="1"/>
              <w:ind w:firstLine="540"/>
              <w:contextualSpacing/>
              <w:jc w:val="both"/>
            </w:pPr>
            <w:r w:rsidRPr="00271363">
              <w:rPr>
                <w:color w:val="000000"/>
              </w:rPr>
              <w:t>Условия отказа от заключения договора подписки:</w:t>
            </w:r>
            <w:r w:rsidRPr="00271363">
              <w:rPr>
                <w:color w:val="000000"/>
              </w:rPr>
              <w:br/>
              <w:t>- лицо, обратившееся за заключением договора подписки, не может быть идентифицировано в качестве акционера Общества, включенного в список акционеров Общества, среди которых будет проводиться размещение акций дополнительного выпуска;</w:t>
            </w:r>
            <w:r w:rsidRPr="00271363">
              <w:rPr>
                <w:color w:val="000000"/>
              </w:rPr>
              <w:br/>
              <w:t>- Обществом заключены договоры подписки на всё количество акций, размещаемых путем проведения закрытой подписки;</w:t>
            </w:r>
            <w:r w:rsidRPr="00271363">
              <w:rPr>
                <w:color w:val="000000"/>
              </w:rPr>
              <w:br/>
              <w:t>- лицо, намеревающееся приобрести акции, обратилось в Общество для заключения договора закрытой подписки по истечении срока проведения подписки;</w:t>
            </w:r>
            <w:r w:rsidRPr="00271363">
              <w:rPr>
                <w:color w:val="000000"/>
              </w:rPr>
              <w:br/>
              <w:t>- эмиссия акций дополнительного выпуска приостановлена или запрещена;</w:t>
            </w:r>
            <w:r w:rsidRPr="00271363">
              <w:rPr>
                <w:color w:val="000000"/>
              </w:rPr>
              <w:br/>
              <w:t xml:space="preserve">- имеются иные обстоятельства, предусмотренные действующим законодательством Республики Беларусь, уставом Общества, локальными правовыми актами Общества или решением об увеличении уставного фонда, при наличии которых заключение договора подписки становится невозможным (например, отсутствие в случаях, предусмотренных законодательством, согласия антимонопольного органа на совершение сделок с акциями, заключения о независимой оценке стоимости </w:t>
            </w:r>
            <w:proofErr w:type="spellStart"/>
            <w:r w:rsidRPr="00271363">
              <w:rPr>
                <w:color w:val="000000"/>
              </w:rPr>
              <w:t>неденежного</w:t>
            </w:r>
            <w:proofErr w:type="spellEnd"/>
            <w:r w:rsidRPr="00271363">
              <w:rPr>
                <w:color w:val="000000"/>
              </w:rPr>
              <w:t xml:space="preserve"> вклада и иных необходимых документов, представление документов, содержащих неполные сведения и (или) не соответствующих требованиям законодательства).</w:t>
            </w:r>
          </w:p>
        </w:tc>
      </w:tr>
      <w:tr w:rsidR="006C64E1" w:rsidTr="00D763BD">
        <w:tc>
          <w:tcPr>
            <w:tcW w:w="4968" w:type="dxa"/>
            <w:shd w:val="clear" w:color="auto" w:fill="auto"/>
          </w:tcPr>
          <w:p w:rsidR="006C64E1" w:rsidRPr="00664D97" w:rsidRDefault="006C64E1" w:rsidP="006C64E1">
            <w:pPr>
              <w:pStyle w:val="newncpi"/>
              <w:ind w:firstLine="0"/>
            </w:pPr>
            <w:r w:rsidRPr="00664D97">
              <w:t>Условия досрочного прекращения проведения закрытой подписки на акции</w:t>
            </w:r>
          </w:p>
          <w:p w:rsidR="006C64E1" w:rsidRPr="00664D97" w:rsidRDefault="006C64E1" w:rsidP="006C64E1">
            <w:pPr>
              <w:tabs>
                <w:tab w:val="left" w:pos="3630"/>
              </w:tabs>
              <w:jc w:val="both"/>
            </w:pPr>
          </w:p>
        </w:tc>
        <w:tc>
          <w:tcPr>
            <w:tcW w:w="5580" w:type="dxa"/>
            <w:shd w:val="clear" w:color="auto" w:fill="auto"/>
          </w:tcPr>
          <w:p w:rsidR="002D3956" w:rsidRPr="002D3956" w:rsidRDefault="002D3956" w:rsidP="002D3956">
            <w:pPr>
              <w:spacing w:before="100" w:beforeAutospacing="1" w:after="100" w:afterAutospacing="1"/>
              <w:ind w:firstLine="540"/>
              <w:contextualSpacing/>
              <w:jc w:val="both"/>
            </w:pPr>
            <w:r w:rsidRPr="002D3956">
              <w:t>В случае если объем эмиссии в ходе подписки достигнут, подписка прекращается досрочно, в том числе с учетом направления обществом на увеличение уставного фонда собственного капитала (фонд переоценки) в пределах номинальной стоимости одной акции дополнительного выпуска для доведения количества акций дополнительного выпуска до ближайшего целого числа при условии увеличения доли Брестской области в уставном фонде общества.</w:t>
            </w:r>
          </w:p>
          <w:p w:rsidR="006C64E1" w:rsidRPr="003D1BF3" w:rsidRDefault="006C64E1" w:rsidP="006C64E1">
            <w:pPr>
              <w:pStyle w:val="newncpi"/>
              <w:rPr>
                <w:sz w:val="20"/>
                <w:szCs w:val="20"/>
              </w:rPr>
            </w:pPr>
          </w:p>
        </w:tc>
      </w:tr>
      <w:tr w:rsidR="006C64E1" w:rsidTr="00D763BD">
        <w:tc>
          <w:tcPr>
            <w:tcW w:w="4968" w:type="dxa"/>
            <w:shd w:val="clear" w:color="auto" w:fill="auto"/>
          </w:tcPr>
          <w:p w:rsidR="006C64E1" w:rsidRPr="00664D97" w:rsidRDefault="006C64E1" w:rsidP="006C64E1">
            <w:pPr>
              <w:pStyle w:val="newncpi"/>
              <w:ind w:firstLine="0"/>
            </w:pPr>
            <w:r w:rsidRPr="00664D97">
              <w:t xml:space="preserve">Основания, по которым эмиссия акций может быть признана несостоявшейся, с указанием доли неразмещенных акций, при которой эмиссия эмиссионных ценных бумаг считается несостоявшейся </w:t>
            </w:r>
          </w:p>
        </w:tc>
        <w:tc>
          <w:tcPr>
            <w:tcW w:w="5580" w:type="dxa"/>
            <w:shd w:val="clear" w:color="auto" w:fill="auto"/>
          </w:tcPr>
          <w:p w:rsidR="002D3956" w:rsidRPr="002D3956" w:rsidRDefault="002D3956" w:rsidP="002D3956">
            <w:pPr>
              <w:spacing w:before="100" w:beforeAutospacing="1" w:after="100" w:afterAutospacing="1"/>
              <w:ind w:firstLine="540"/>
              <w:contextualSpacing/>
              <w:jc w:val="both"/>
              <w:rPr>
                <w:rFonts w:eastAsiaTheme="minorHAnsi"/>
                <w:lang w:eastAsia="en-US"/>
              </w:rPr>
            </w:pPr>
            <w:r w:rsidRPr="002D3956">
              <w:rPr>
                <w:rFonts w:eastAsiaTheme="minorHAnsi"/>
                <w:lang w:eastAsia="en-US"/>
              </w:rPr>
              <w:t>Основания, по которым эмиссия акций может быть признана несостоявшейся: в случае отсутствия заключенного договора подписки либо неисполнение условий договора подписки.</w:t>
            </w:r>
          </w:p>
          <w:p w:rsidR="006C64E1" w:rsidRDefault="006C64E1" w:rsidP="006C64E1">
            <w:pPr>
              <w:pStyle w:val="newncpi"/>
            </w:pPr>
          </w:p>
        </w:tc>
      </w:tr>
      <w:tr w:rsidR="006C64E1" w:rsidTr="00D763BD">
        <w:tc>
          <w:tcPr>
            <w:tcW w:w="4968" w:type="dxa"/>
            <w:shd w:val="clear" w:color="auto" w:fill="auto"/>
          </w:tcPr>
          <w:p w:rsidR="006C64E1" w:rsidRPr="00664D97" w:rsidRDefault="006C64E1" w:rsidP="006C64E1">
            <w:pPr>
              <w:pStyle w:val="newncpi"/>
              <w:ind w:firstLine="0"/>
            </w:pPr>
            <w:r w:rsidRPr="00664D97">
              <w:t xml:space="preserve">Условия и порядок возврата средств инвесторам в случае признания </w:t>
            </w:r>
            <w:r w:rsidRPr="00664D97">
              <w:lastRenderedPageBreak/>
              <w:t>дополнительного выпуска акций недействительным или эмиссии акций несостоявшейся, а также в случае запрещения эмиссии</w:t>
            </w:r>
          </w:p>
          <w:p w:rsidR="006C64E1" w:rsidRPr="00664D97" w:rsidRDefault="006C64E1" w:rsidP="006C64E1">
            <w:pPr>
              <w:tabs>
                <w:tab w:val="left" w:pos="3630"/>
              </w:tabs>
              <w:jc w:val="both"/>
            </w:pPr>
          </w:p>
        </w:tc>
        <w:tc>
          <w:tcPr>
            <w:tcW w:w="5580" w:type="dxa"/>
            <w:shd w:val="clear" w:color="auto" w:fill="auto"/>
          </w:tcPr>
          <w:p w:rsidR="00D971AD" w:rsidRPr="002D3956" w:rsidRDefault="00EB522D" w:rsidP="00D971AD">
            <w:pPr>
              <w:spacing w:before="100" w:beforeAutospacing="1" w:after="100" w:afterAutospacing="1"/>
              <w:ind w:firstLine="540"/>
              <w:contextualSpacing/>
              <w:jc w:val="both"/>
            </w:pPr>
            <w:r w:rsidRPr="002D3956">
              <w:lastRenderedPageBreak/>
              <w:t xml:space="preserve">В случае принятия общим собранием акционеров решения об отказе дополнительного </w:t>
            </w:r>
            <w:r w:rsidRPr="002D3956">
              <w:lastRenderedPageBreak/>
              <w:t xml:space="preserve">выпуска акций или признания закрытой подписки на акции Общества несостоявшейся, Общество возвращает </w:t>
            </w:r>
            <w:proofErr w:type="spellStart"/>
            <w:r w:rsidRPr="002D3956">
              <w:t>неденежный</w:t>
            </w:r>
            <w:proofErr w:type="spellEnd"/>
            <w:r w:rsidRPr="002D3956">
              <w:t xml:space="preserve"> вклад, внесенный </w:t>
            </w:r>
            <w:r>
              <w:t>во время подписки, н</w:t>
            </w:r>
            <w:r w:rsidR="00D971AD" w:rsidRPr="002D3956">
              <w:t>е позднее одного месяца от даты проведения общего собрания акционеров, на котором утверждались результаты подписки.</w:t>
            </w:r>
          </w:p>
          <w:p w:rsidR="006C64E1" w:rsidRDefault="006C64E1" w:rsidP="006C64E1">
            <w:pPr>
              <w:tabs>
                <w:tab w:val="left" w:pos="3630"/>
              </w:tabs>
              <w:jc w:val="both"/>
            </w:pPr>
          </w:p>
        </w:tc>
      </w:tr>
    </w:tbl>
    <w:p w:rsidR="00922196" w:rsidRDefault="00922196" w:rsidP="00111125">
      <w:pPr>
        <w:tabs>
          <w:tab w:val="left" w:pos="3630"/>
        </w:tabs>
        <w:jc w:val="both"/>
        <w:rPr>
          <w:color w:val="000000"/>
          <w:shd w:val="clear" w:color="auto" w:fill="FFFFFF"/>
        </w:rPr>
      </w:pPr>
    </w:p>
    <w:p w:rsidR="00922196" w:rsidRDefault="00922196" w:rsidP="00111125">
      <w:pPr>
        <w:tabs>
          <w:tab w:val="left" w:pos="3630"/>
        </w:tabs>
        <w:jc w:val="both"/>
        <w:rPr>
          <w:color w:val="000000"/>
          <w:shd w:val="clear" w:color="auto" w:fill="FFFFFF"/>
        </w:rPr>
      </w:pPr>
    </w:p>
    <w:sectPr w:rsidR="00922196" w:rsidSect="00B03790">
      <w:pgSz w:w="11906" w:h="16838"/>
      <w:pgMar w:top="340" w:right="340" w:bottom="3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25"/>
    <w:rsid w:val="000023F5"/>
    <w:rsid w:val="0001588A"/>
    <w:rsid w:val="00032595"/>
    <w:rsid w:val="000376A3"/>
    <w:rsid w:val="000660B0"/>
    <w:rsid w:val="00066795"/>
    <w:rsid w:val="00082644"/>
    <w:rsid w:val="000972EA"/>
    <w:rsid w:val="000D7DDC"/>
    <w:rsid w:val="000E5DEA"/>
    <w:rsid w:val="000E68C5"/>
    <w:rsid w:val="00102079"/>
    <w:rsid w:val="00103859"/>
    <w:rsid w:val="00111125"/>
    <w:rsid w:val="00167948"/>
    <w:rsid w:val="001D2DB0"/>
    <w:rsid w:val="00215572"/>
    <w:rsid w:val="002158C9"/>
    <w:rsid w:val="00224F25"/>
    <w:rsid w:val="00263C42"/>
    <w:rsid w:val="00271363"/>
    <w:rsid w:val="0027336F"/>
    <w:rsid w:val="00275AA2"/>
    <w:rsid w:val="00287A91"/>
    <w:rsid w:val="002D3956"/>
    <w:rsid w:val="002E6555"/>
    <w:rsid w:val="002F1021"/>
    <w:rsid w:val="00335B0C"/>
    <w:rsid w:val="00337316"/>
    <w:rsid w:val="003374FF"/>
    <w:rsid w:val="00352059"/>
    <w:rsid w:val="00382D94"/>
    <w:rsid w:val="003846FF"/>
    <w:rsid w:val="003B714A"/>
    <w:rsid w:val="003F0014"/>
    <w:rsid w:val="004037F9"/>
    <w:rsid w:val="004052C2"/>
    <w:rsid w:val="004124A7"/>
    <w:rsid w:val="0044777B"/>
    <w:rsid w:val="00474C20"/>
    <w:rsid w:val="004B2606"/>
    <w:rsid w:val="004B3FA2"/>
    <w:rsid w:val="004B6832"/>
    <w:rsid w:val="004C48B4"/>
    <w:rsid w:val="004D650D"/>
    <w:rsid w:val="004D7EFA"/>
    <w:rsid w:val="00500A37"/>
    <w:rsid w:val="005D34D5"/>
    <w:rsid w:val="005F287C"/>
    <w:rsid w:val="00633C23"/>
    <w:rsid w:val="00653AD1"/>
    <w:rsid w:val="00664D97"/>
    <w:rsid w:val="006903C8"/>
    <w:rsid w:val="006C63E0"/>
    <w:rsid w:val="006C64E1"/>
    <w:rsid w:val="006D3920"/>
    <w:rsid w:val="006D739E"/>
    <w:rsid w:val="006F7D9F"/>
    <w:rsid w:val="00754B79"/>
    <w:rsid w:val="007669AF"/>
    <w:rsid w:val="007B5827"/>
    <w:rsid w:val="007B5CA3"/>
    <w:rsid w:val="007D6B46"/>
    <w:rsid w:val="007F45A3"/>
    <w:rsid w:val="008056F4"/>
    <w:rsid w:val="00806B47"/>
    <w:rsid w:val="00845D9D"/>
    <w:rsid w:val="00895D0B"/>
    <w:rsid w:val="008B1123"/>
    <w:rsid w:val="008D2575"/>
    <w:rsid w:val="008E556C"/>
    <w:rsid w:val="008F4724"/>
    <w:rsid w:val="008F4F80"/>
    <w:rsid w:val="00922196"/>
    <w:rsid w:val="00925F1B"/>
    <w:rsid w:val="00926DC4"/>
    <w:rsid w:val="009A255E"/>
    <w:rsid w:val="009B4D0D"/>
    <w:rsid w:val="009D111C"/>
    <w:rsid w:val="00A35EB3"/>
    <w:rsid w:val="00A52D6B"/>
    <w:rsid w:val="00A62239"/>
    <w:rsid w:val="00AD52D6"/>
    <w:rsid w:val="00AF06FB"/>
    <w:rsid w:val="00AF73FD"/>
    <w:rsid w:val="00B03790"/>
    <w:rsid w:val="00B04B3B"/>
    <w:rsid w:val="00B10741"/>
    <w:rsid w:val="00B12EB5"/>
    <w:rsid w:val="00B21B1C"/>
    <w:rsid w:val="00B501C9"/>
    <w:rsid w:val="00B65C10"/>
    <w:rsid w:val="00B67030"/>
    <w:rsid w:val="00BF1D95"/>
    <w:rsid w:val="00BF7F4D"/>
    <w:rsid w:val="00C0067D"/>
    <w:rsid w:val="00CA395E"/>
    <w:rsid w:val="00CB4B7A"/>
    <w:rsid w:val="00CC6710"/>
    <w:rsid w:val="00CD5355"/>
    <w:rsid w:val="00CE4F6E"/>
    <w:rsid w:val="00CF6622"/>
    <w:rsid w:val="00D17578"/>
    <w:rsid w:val="00D22691"/>
    <w:rsid w:val="00D47BC0"/>
    <w:rsid w:val="00D763BD"/>
    <w:rsid w:val="00D9099C"/>
    <w:rsid w:val="00D971AD"/>
    <w:rsid w:val="00DA777E"/>
    <w:rsid w:val="00DD6B0D"/>
    <w:rsid w:val="00E21749"/>
    <w:rsid w:val="00E2365C"/>
    <w:rsid w:val="00E67815"/>
    <w:rsid w:val="00E769B7"/>
    <w:rsid w:val="00E77CBE"/>
    <w:rsid w:val="00E81E43"/>
    <w:rsid w:val="00EB522D"/>
    <w:rsid w:val="00EC6AC1"/>
    <w:rsid w:val="00EC74E6"/>
    <w:rsid w:val="00ED3847"/>
    <w:rsid w:val="00F24BDE"/>
    <w:rsid w:val="00F333A4"/>
    <w:rsid w:val="00F66DC9"/>
    <w:rsid w:val="00FA75EF"/>
    <w:rsid w:val="00FE353E"/>
    <w:rsid w:val="00FF6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84CAC"/>
  <w15:docId w15:val="{DEEAFAF3-C93B-404F-BBD5-8368A18E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12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1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
    <w:name w:val="point"/>
    <w:basedOn w:val="a"/>
    <w:rsid w:val="00BF7F4D"/>
    <w:pPr>
      <w:ind w:firstLine="567"/>
      <w:jc w:val="both"/>
    </w:pPr>
  </w:style>
  <w:style w:type="paragraph" w:customStyle="1" w:styleId="newncpi">
    <w:name w:val="newncpi"/>
    <w:basedOn w:val="a"/>
    <w:rsid w:val="008F4724"/>
    <w:pPr>
      <w:ind w:firstLine="567"/>
      <w:jc w:val="both"/>
    </w:pPr>
  </w:style>
  <w:style w:type="paragraph" w:styleId="a4">
    <w:name w:val="Balloon Text"/>
    <w:basedOn w:val="a"/>
    <w:link w:val="a5"/>
    <w:semiHidden/>
    <w:unhideWhenUsed/>
    <w:rsid w:val="00E77CBE"/>
    <w:rPr>
      <w:rFonts w:ascii="Segoe UI" w:hAnsi="Segoe UI" w:cs="Segoe UI"/>
      <w:sz w:val="18"/>
      <w:szCs w:val="18"/>
    </w:rPr>
  </w:style>
  <w:style w:type="character" w:customStyle="1" w:styleId="a5">
    <w:name w:val="Текст выноски Знак"/>
    <w:basedOn w:val="a0"/>
    <w:link w:val="a4"/>
    <w:semiHidden/>
    <w:rsid w:val="00E77C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852946">
      <w:bodyDiv w:val="1"/>
      <w:marLeft w:val="0"/>
      <w:marRight w:val="0"/>
      <w:marTop w:val="0"/>
      <w:marBottom w:val="0"/>
      <w:divBdr>
        <w:top w:val="none" w:sz="0" w:space="0" w:color="auto"/>
        <w:left w:val="none" w:sz="0" w:space="0" w:color="auto"/>
        <w:bottom w:val="none" w:sz="0" w:space="0" w:color="auto"/>
        <w:right w:val="none" w:sz="0" w:space="0" w:color="auto"/>
      </w:divBdr>
    </w:div>
    <w:div w:id="141755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1267</Words>
  <Characters>7227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RePack by SPecialiST</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creator>Admin</dc:creator>
  <cp:lastModifiedBy>otiz-on</cp:lastModifiedBy>
  <cp:revision>12</cp:revision>
  <cp:lastPrinted>2026-03-17T11:44:00Z</cp:lastPrinted>
  <dcterms:created xsi:type="dcterms:W3CDTF">2026-03-16T13:54:00Z</dcterms:created>
  <dcterms:modified xsi:type="dcterms:W3CDTF">2026-03-17T11:47:00Z</dcterms:modified>
</cp:coreProperties>
</file>